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DA" w:rsidRPr="00000CDA" w:rsidRDefault="00000CDA" w:rsidP="00000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DA">
        <w:rPr>
          <w:rFonts w:ascii="Times New Roman" w:hAnsi="Times New Roman" w:cs="Times New Roman"/>
          <w:b/>
          <w:sz w:val="24"/>
          <w:szCs w:val="24"/>
        </w:rPr>
        <w:t>Реестр профессиональных конкурсов для педагогов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000CDA" w:rsidRPr="00000CDA" w:rsidTr="00000CDA">
        <w:trPr>
          <w:trHeight w:val="19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000CDA" w:rsidRPr="00000CDA" w:rsidTr="00000CDA">
        <w:trPr>
          <w:trHeight w:val="157"/>
        </w:trPr>
        <w:tc>
          <w:tcPr>
            <w:tcW w:w="9351" w:type="dxa"/>
            <w:gridSpan w:val="2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 Минпросвещения России</w:t>
            </w:r>
          </w:p>
        </w:tc>
      </w:tr>
      <w:tr w:rsidR="00000CDA" w:rsidRPr="00000CDA" w:rsidTr="00000CDA">
        <w:trPr>
          <w:trHeight w:val="577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«Учитель года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</w:t>
            </w:r>
          </w:p>
        </w:tc>
      </w:tr>
      <w:tr w:rsidR="00000CDA" w:rsidRPr="00000CDA" w:rsidTr="00000CDA">
        <w:trPr>
          <w:trHeight w:val="187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», центров цифровых технологий, технопарков.</w:t>
            </w:r>
          </w:p>
        </w:tc>
      </w:tr>
      <w:tr w:rsidR="00000CDA" w:rsidRPr="00000CDA" w:rsidTr="00000CDA">
        <w:trPr>
          <w:trHeight w:val="154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000CDA" w:rsidRPr="00000CDA" w:rsidTr="00000CDA">
        <w:trPr>
          <w:trHeight w:val="881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000CDA" w:rsidRPr="00000CDA" w:rsidTr="00000CDA">
        <w:trPr>
          <w:trHeight w:val="797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000CDA" w:rsidRPr="00000CDA" w:rsidTr="00000CDA">
        <w:trPr>
          <w:trHeight w:val="67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000CDA" w:rsidRPr="00000CDA" w:rsidTr="00000CDA">
        <w:trPr>
          <w:trHeight w:val="917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</w:t>
            </w:r>
          </w:p>
        </w:tc>
      </w:tr>
      <w:tr w:rsidR="00000CDA" w:rsidRPr="00000CDA" w:rsidTr="00000CDA"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</w:t>
            </w:r>
            <w:r w:rsidRPr="00000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принимают участие в конкурсе «Первый учитель».</w:t>
            </w:r>
          </w:p>
        </w:tc>
      </w:tr>
      <w:tr w:rsidR="00000CDA" w:rsidRPr="00000CDA" w:rsidTr="00000CDA">
        <w:trPr>
          <w:trHeight w:val="311"/>
        </w:trPr>
        <w:tc>
          <w:tcPr>
            <w:tcW w:w="9351" w:type="dxa"/>
            <w:gridSpan w:val="2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Конкурсы, реализуемые при поддержке Минпросвещения России</w:t>
            </w:r>
          </w:p>
        </w:tc>
      </w:tr>
      <w:tr w:rsidR="00000CDA" w:rsidRPr="00000CDA" w:rsidTr="00000CDA">
        <w:trPr>
          <w:trHeight w:val="93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«Флагманы образования»</w:t>
              </w:r>
            </w:hyperlink>
          </w:p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</w:p>
        </w:tc>
      </w:tr>
      <w:tr w:rsidR="00000CDA" w:rsidRPr="00000CDA" w:rsidTr="00000CDA">
        <w:trPr>
          <w:trHeight w:val="82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 образовательных организаций</w:t>
            </w:r>
          </w:p>
        </w:tc>
      </w:tr>
      <w:tr w:rsidR="00000CDA" w:rsidRPr="00000CDA" w:rsidTr="00000CDA">
        <w:trPr>
          <w:trHeight w:val="1019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000CDA" w:rsidRPr="00000CDA" w:rsidTr="00000CDA">
        <w:trPr>
          <w:trHeight w:val="907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педагогов «Мой лучший урок»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Учителя и преподаватели образовательных учреждений</w:t>
            </w:r>
          </w:p>
        </w:tc>
      </w:tr>
      <w:tr w:rsidR="00000CDA" w:rsidRPr="00000CDA" w:rsidTr="00000CDA">
        <w:trPr>
          <w:trHeight w:val="1376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000CDA" w:rsidRPr="00000CDA" w:rsidTr="00000CDA">
        <w:trPr>
          <w:trHeight w:val="187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000CDA" w:rsidRPr="00000CDA" w:rsidTr="00000CDA">
        <w:trPr>
          <w:trHeight w:val="1676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 до 35 лет и без ограничения по возрасту (для номинации «Моя педагогическая инициатива»</w:t>
            </w:r>
            <w:proofErr w:type="gramStart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),  студенты</w:t>
            </w:r>
            <w:proofErr w:type="gramEnd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, аспиранты</w:t>
            </w:r>
          </w:p>
        </w:tc>
      </w:tr>
      <w:tr w:rsidR="00000CDA" w:rsidRPr="00000CDA" w:rsidTr="00000CDA">
        <w:trPr>
          <w:trHeight w:val="156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Международный конкурс имени Льва Выготского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000CDA" w:rsidRPr="00000CDA" w:rsidTr="00000CDA">
        <w:trPr>
          <w:trHeight w:val="156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000CDA" w:rsidRPr="00000CDA" w:rsidTr="00000CDA">
        <w:trPr>
          <w:trHeight w:val="56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Конкурс профессионального мастерства среди преподавателей обществознания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Преподаватели обществознания образовательных учреждений</w:t>
            </w:r>
          </w:p>
        </w:tc>
      </w:tr>
      <w:tr w:rsidR="00000CDA" w:rsidRPr="00000CDA" w:rsidTr="00000CDA">
        <w:trPr>
          <w:trHeight w:val="1560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000CDA" w:rsidRPr="00000CDA" w:rsidTr="00000CDA">
        <w:trPr>
          <w:trHeight w:val="897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Премия «Топ БЛОГ»</w:t>
              </w:r>
            </w:hyperlink>
          </w:p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психологи, учителя и педагогические работники, создающие социально полезный контент</w:t>
            </w:r>
          </w:p>
        </w:tc>
      </w:tr>
      <w:tr w:rsidR="00000CDA" w:rsidRPr="00000CDA" w:rsidTr="00000CDA">
        <w:trPr>
          <w:trHeight w:val="1211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конкурс «Лига Лекторов»</w:t>
              </w:r>
            </w:hyperlink>
          </w:p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) или достижения в профессион</w:t>
            </w:r>
            <w:bookmarkStart w:id="0" w:name="_GoBack"/>
            <w:bookmarkEnd w:id="0"/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альной области</w:t>
            </w:r>
          </w:p>
        </w:tc>
      </w:tr>
      <w:tr w:rsidR="00000CDA" w:rsidRPr="00000CDA" w:rsidTr="00000CDA">
        <w:trPr>
          <w:trHeight w:val="1245"/>
        </w:trPr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Всероссийская олимпиада для учителей информатики «ПРО-IT»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  <w:tr w:rsidR="00000CDA" w:rsidRPr="00000CDA" w:rsidTr="00000CDA"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учреждений и образовательных учреждений СПО Российской Федерации вне зависимости от предметного профиля, являющиеся гражданами Российской Федерации</w:t>
            </w:r>
          </w:p>
        </w:tc>
      </w:tr>
      <w:tr w:rsidR="00000CDA" w:rsidRPr="00000CDA" w:rsidTr="00000CDA">
        <w:tc>
          <w:tcPr>
            <w:tcW w:w="4248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000C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Всероссийская олимпиада для учителей физики «Лига лучших»</w:t>
              </w:r>
            </w:hyperlink>
          </w:p>
        </w:tc>
        <w:tc>
          <w:tcPr>
            <w:tcW w:w="5103" w:type="dxa"/>
            <w:shd w:val="clear" w:color="auto" w:fill="auto"/>
            <w:hideMark/>
          </w:tcPr>
          <w:p w:rsidR="00000CDA" w:rsidRPr="00000CDA" w:rsidRDefault="00000CDA" w:rsidP="0000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D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(учителя физики)</w:t>
            </w:r>
          </w:p>
        </w:tc>
      </w:tr>
    </w:tbl>
    <w:p w:rsidR="00AC5B68" w:rsidRPr="00000CDA" w:rsidRDefault="00AC5B68">
      <w:pPr>
        <w:rPr>
          <w:rFonts w:ascii="Times New Roman" w:hAnsi="Times New Roman" w:cs="Times New Roman"/>
          <w:sz w:val="24"/>
          <w:szCs w:val="24"/>
        </w:rPr>
      </w:pPr>
    </w:p>
    <w:sectPr w:rsidR="00AC5B68" w:rsidRPr="0000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1"/>
    <w:rsid w:val="00000CDA"/>
    <w:rsid w:val="001E2661"/>
    <w:rsid w:val="00A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C8350-4FD7-4C84-9D2A-3C4399F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ebobrug0aehzqb4f4d.xn--p1ai/" TargetMode="External"/><Relationship Id="rId13" Type="http://schemas.openxmlformats.org/officeDocument/2006/relationships/hyperlink" Target="https://fond.historyrussia.org/istoriya-v-shkole-traditsii-i-novatsii.html" TargetMode="External"/><Relationship Id="rId18" Type="http://schemas.openxmlformats.org/officeDocument/2006/relationships/hyperlink" Target="https://moyastrana.ru/o-nas/" TargetMode="External"/><Relationship Id="rId26" Type="http://schemas.openxmlformats.org/officeDocument/2006/relationships/hyperlink" Target="https://atomlesson.ru/abou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pa-mu.wixsite.com/my-site-1/" TargetMode="External"/><Relationship Id="rId7" Type="http://schemas.openxmlformats.org/officeDocument/2006/relationships/hyperlink" Target="http://www.edu.ru/best-teachers" TargetMode="External"/><Relationship Id="rId12" Type="http://schemas.openxmlformats.org/officeDocument/2006/relationships/hyperlink" Target="https://flagmany.rsv.ru/" TargetMode="External"/><Relationship Id="rId17" Type="http://schemas.openxmlformats.org/officeDocument/2006/relationships/hyperlink" Target="https://clever-lab.pro/course/view.php?id=12%20" TargetMode="External"/><Relationship Id="rId25" Type="http://schemas.openxmlformats.org/officeDocument/2006/relationships/hyperlink" Target="https://konkurs.apkp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braz.ru/konkursy/za-nravstvennyj-podvig-uchitelya/" TargetMode="External"/><Relationship Id="rId20" Type="http://schemas.openxmlformats.org/officeDocument/2006/relationships/hyperlink" Target="https://urok.hse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gaabfzyycbcg2a5d.xn--p1ai/" TargetMode="External"/><Relationship Id="rId11" Type="http://schemas.openxmlformats.org/officeDocument/2006/relationships/hyperlink" Target="https://xn--b1afbleowjvi8b6bu.xn--p1ai/" TargetMode="External"/><Relationship Id="rId24" Type="http://schemas.openxmlformats.org/officeDocument/2006/relationships/hyperlink" Target="https://www.znanierussia.ru/ligalektorov" TargetMode="External"/><Relationship Id="rId5" Type="http://schemas.openxmlformats.org/officeDocument/2006/relationships/hyperlink" Target="https://serdtsedetyam.ru/" TargetMode="External"/><Relationship Id="rId15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3" Type="http://schemas.openxmlformats.org/officeDocument/2006/relationships/hyperlink" Target="https://topblog.rs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klassnayatemashow" TargetMode="External"/><Relationship Id="rId19" Type="http://schemas.openxmlformats.org/officeDocument/2006/relationships/hyperlink" Target="http://rybakovpreschoolaward.ru/" TargetMode="External"/><Relationship Id="rId4" Type="http://schemas.openxmlformats.org/officeDocument/2006/relationships/hyperlink" Target="https://teacherofrussia.ru/" TargetMode="External"/><Relationship Id="rId9" Type="http://schemas.openxmlformats.org/officeDocument/2006/relationships/hyperlink" Target="https://xn--80aaied4brohk.xn--p1ai/" TargetMode="External"/><Relationship Id="rId14" Type="http://schemas.openxmlformats.org/officeDocument/2006/relationships/hyperlink" Target="https://kon-kraeved.historyrussia.org/" TargetMode="External"/><Relationship Id="rId22" Type="http://schemas.openxmlformats.org/officeDocument/2006/relationships/hyperlink" Target="https://1-teacher.ru/" TargetMode="External"/><Relationship Id="rId27" Type="http://schemas.openxmlformats.org/officeDocument/2006/relationships/hyperlink" Target="https://liga.mep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6140</Characters>
  <Application>Microsoft Office Word</Application>
  <DocSecurity>0</DocSecurity>
  <Lines>51</Lines>
  <Paragraphs>14</Paragraphs>
  <ScaleCrop>false</ScaleCrop>
  <Company>Bryansk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ЗамДиректора по УВР</cp:lastModifiedBy>
  <cp:revision>2</cp:revision>
  <dcterms:created xsi:type="dcterms:W3CDTF">2026-02-11T09:19:00Z</dcterms:created>
  <dcterms:modified xsi:type="dcterms:W3CDTF">2026-02-11T09:25:00Z</dcterms:modified>
</cp:coreProperties>
</file>